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3B02" w:rsidRPr="008E3B02" w:rsidRDefault="00E8528F" w:rsidP="00D91ADD">
      <w:pPr>
        <w:spacing w:after="0" w:line="480" w:lineRule="auto"/>
        <w:jc w:val="center"/>
        <w:rPr>
          <w:rFonts w:ascii="Times New Roman" w:hAnsi="Times New Roman" w:cs="Times New Roman"/>
          <w:color w:val="000000" w:themeColor="text1"/>
          <w:sz w:val="24"/>
          <w:szCs w:val="24"/>
        </w:rPr>
      </w:pPr>
      <w:r w:rsidRPr="008E3B02">
        <w:rPr>
          <w:rFonts w:ascii="Times New Roman" w:hAnsi="Times New Roman" w:cs="Times New Roman"/>
          <w:color w:val="000000" w:themeColor="text1"/>
          <w:sz w:val="24"/>
          <w:szCs w:val="24"/>
        </w:rPr>
        <w:t>#1 Kathy Iron Deficiency Anemia</w:t>
      </w:r>
    </w:p>
    <w:p w:rsidR="002A07FF" w:rsidRPr="008E3B02" w:rsidRDefault="00E8528F" w:rsidP="008E3B02">
      <w:pPr>
        <w:spacing w:after="0" w:line="480" w:lineRule="auto"/>
        <w:ind w:firstLine="851"/>
        <w:rPr>
          <w:rFonts w:ascii="Times New Roman" w:hAnsi="Times New Roman" w:cs="Times New Roman"/>
          <w:color w:val="000000" w:themeColor="text1"/>
          <w:sz w:val="24"/>
          <w:szCs w:val="24"/>
        </w:rPr>
      </w:pPr>
      <w:r w:rsidRPr="008E3B02">
        <w:rPr>
          <w:rFonts w:ascii="Times New Roman" w:hAnsi="Times New Roman" w:cs="Times New Roman"/>
          <w:color w:val="000000" w:themeColor="text1"/>
          <w:sz w:val="24"/>
          <w:szCs w:val="24"/>
        </w:rPr>
        <w:t>Iron deficiency anemia is acknowledged as the most common type of anemia. The condition occurs when there is diminished hemoglobin count in the red blood cells. Hemoglobin is an essential protein that delivers oxygen to the body tissues. The lack of mineral iron in the body leads to a low level of hemoglobin in the red blood cells. The condition is common; however, many people do not realize if they have it because one can experience the clinical manifestations of the disease while not realizing if it is the condition</w:t>
      </w:r>
      <w:r w:rsidR="008E3B02" w:rsidRPr="008E3B02">
        <w:rPr>
          <w:rFonts w:ascii="Times New Roman" w:hAnsi="Times New Roman" w:cs="Times New Roman"/>
          <w:color w:val="000000" w:themeColor="text1"/>
          <w:sz w:val="24"/>
          <w:szCs w:val="24"/>
        </w:rPr>
        <w:t xml:space="preserve"> (</w:t>
      </w:r>
      <w:r w:rsidR="008E3B02" w:rsidRPr="008E3B02">
        <w:rPr>
          <w:rFonts w:ascii="Times New Roman" w:hAnsi="Times New Roman" w:cs="Times New Roman"/>
          <w:color w:val="000000" w:themeColor="text1"/>
          <w:sz w:val="24"/>
          <w:szCs w:val="24"/>
          <w:shd w:val="clear" w:color="auto" w:fill="FFFFFF"/>
        </w:rPr>
        <w:t>Miller, 2013)</w:t>
      </w:r>
      <w:r w:rsidRPr="008E3B02">
        <w:rPr>
          <w:rFonts w:ascii="Times New Roman" w:hAnsi="Times New Roman" w:cs="Times New Roman"/>
          <w:color w:val="000000" w:themeColor="text1"/>
          <w:sz w:val="24"/>
          <w:szCs w:val="24"/>
        </w:rPr>
        <w:t xml:space="preserve">. The diagnosis among women of productive age is linked to the loss of blood through menstruation. Therefore, the new diagnosis of the disease to Kathy who is 12 years might have been caused by the loss of blood. </w:t>
      </w:r>
    </w:p>
    <w:p w:rsidR="00C42FC3" w:rsidRPr="008E3B02" w:rsidRDefault="00E8528F" w:rsidP="008E3B02">
      <w:pPr>
        <w:spacing w:after="0" w:line="480" w:lineRule="auto"/>
        <w:ind w:firstLine="851"/>
        <w:jc w:val="center"/>
        <w:rPr>
          <w:rFonts w:ascii="Times New Roman" w:hAnsi="Times New Roman" w:cs="Times New Roman"/>
          <w:b/>
          <w:bCs/>
          <w:color w:val="000000" w:themeColor="text1"/>
          <w:sz w:val="24"/>
          <w:szCs w:val="24"/>
        </w:rPr>
      </w:pPr>
      <w:r w:rsidRPr="008E3B02">
        <w:rPr>
          <w:rFonts w:ascii="Times New Roman" w:hAnsi="Times New Roman" w:cs="Times New Roman"/>
          <w:b/>
          <w:bCs/>
          <w:color w:val="000000" w:themeColor="text1"/>
          <w:sz w:val="24"/>
          <w:szCs w:val="24"/>
        </w:rPr>
        <w:t>Education on Diet and Supplements</w:t>
      </w:r>
    </w:p>
    <w:p w:rsidR="00C42FC3" w:rsidRPr="008E3B02" w:rsidRDefault="00E8528F" w:rsidP="008E3B02">
      <w:pPr>
        <w:spacing w:after="0" w:line="480" w:lineRule="auto"/>
        <w:ind w:firstLine="851"/>
        <w:rPr>
          <w:rFonts w:ascii="Times New Roman" w:hAnsi="Times New Roman" w:cs="Times New Roman"/>
          <w:color w:val="000000" w:themeColor="text1"/>
          <w:sz w:val="24"/>
          <w:szCs w:val="24"/>
        </w:rPr>
      </w:pPr>
      <w:r w:rsidRPr="008E3B02">
        <w:rPr>
          <w:rFonts w:ascii="Times New Roman" w:hAnsi="Times New Roman" w:cs="Times New Roman"/>
          <w:color w:val="000000" w:themeColor="text1"/>
          <w:sz w:val="24"/>
          <w:szCs w:val="24"/>
        </w:rPr>
        <w:t xml:space="preserve">Apart from medical treatment, iron deficiency anemia should be managed through enhancing nutrition and iron supplements. For Kathy, educating the parents on the diet and supplements that she needs is significant for her management. The diet plan should be discussed with the parents to ensure that changes are made. Making changes will influence the </w:t>
      </w:r>
      <w:r w:rsidR="00F95C66" w:rsidRPr="008E3B02">
        <w:rPr>
          <w:rFonts w:ascii="Times New Roman" w:hAnsi="Times New Roman" w:cs="Times New Roman"/>
          <w:color w:val="000000" w:themeColor="text1"/>
          <w:sz w:val="24"/>
          <w:szCs w:val="24"/>
        </w:rPr>
        <w:t>management of the disease positively. The diet plan will involve foods that are rich in vitamins to enhance the production of red blood cells and hemoglobin and iron. There are two main groups that the parents should be encouraged to give Kathy which included the nonheme and heme iron-rich foods. Heme iron should be encouraged through the intake of seafood, meat and poultry. Nonheme iron should be accessed from the foods that are fortified with iron and plants. The recommended daily allowance for iron intake is 12mg</w:t>
      </w:r>
      <w:r w:rsidR="008E3B02" w:rsidRPr="008E3B02">
        <w:rPr>
          <w:rFonts w:ascii="Times New Roman" w:hAnsi="Times New Roman" w:cs="Times New Roman"/>
          <w:color w:val="000000" w:themeColor="text1"/>
          <w:sz w:val="24"/>
          <w:szCs w:val="24"/>
        </w:rPr>
        <w:t xml:space="preserve"> (</w:t>
      </w:r>
      <w:r w:rsidR="008E3B02" w:rsidRPr="008E3B02">
        <w:rPr>
          <w:rFonts w:ascii="Times New Roman" w:hAnsi="Times New Roman" w:cs="Times New Roman"/>
          <w:color w:val="000000" w:themeColor="text1"/>
          <w:sz w:val="24"/>
          <w:szCs w:val="24"/>
          <w:shd w:val="clear" w:color="auto" w:fill="FFFFFF"/>
        </w:rPr>
        <w:t>Miller, 2013)</w:t>
      </w:r>
      <w:r w:rsidR="00F95C66" w:rsidRPr="008E3B02">
        <w:rPr>
          <w:rFonts w:ascii="Times New Roman" w:hAnsi="Times New Roman" w:cs="Times New Roman"/>
          <w:color w:val="000000" w:themeColor="text1"/>
          <w:sz w:val="24"/>
          <w:szCs w:val="24"/>
        </w:rPr>
        <w:t xml:space="preserve">. One of the essential food groups that should be encouraged is leafy greens. The dark leafy greens should be encouraged to supply the nonheme iron includes collard greens, kales, spinach and swiss chard. However, the patient should be encouraged not to depend on the leafy greens alone. Poultry and meat are also significant to enhance the supply of heme iron. </w:t>
      </w:r>
      <w:r w:rsidR="00F95C66" w:rsidRPr="008E3B02">
        <w:rPr>
          <w:rFonts w:ascii="Times New Roman" w:hAnsi="Times New Roman" w:cs="Times New Roman"/>
          <w:color w:val="000000" w:themeColor="text1"/>
          <w:sz w:val="24"/>
          <w:szCs w:val="24"/>
        </w:rPr>
        <w:lastRenderedPageBreak/>
        <w:t xml:space="preserve">Venison, lamb and red meat are recognized to be the best sources. Poultry contains lower levels of iron; however, they are significant in increasing the absorption of iron. The liver is also an essential element in the supply of iron. Liver supplies both folate and iron. Other essential organ flesh includes kidney and </w:t>
      </w:r>
      <w:r w:rsidR="00AC043D" w:rsidRPr="008E3B02">
        <w:rPr>
          <w:rFonts w:ascii="Times New Roman" w:hAnsi="Times New Roman" w:cs="Times New Roman"/>
          <w:color w:val="000000" w:themeColor="text1"/>
          <w:sz w:val="24"/>
          <w:szCs w:val="24"/>
        </w:rPr>
        <w:t>heart</w:t>
      </w:r>
      <w:r w:rsidR="00F95C66" w:rsidRPr="008E3B02">
        <w:rPr>
          <w:rFonts w:ascii="Times New Roman" w:hAnsi="Times New Roman" w:cs="Times New Roman"/>
          <w:color w:val="000000" w:themeColor="text1"/>
          <w:sz w:val="24"/>
          <w:szCs w:val="24"/>
        </w:rPr>
        <w:t xml:space="preserve">. Seafood such as pompano, mackerel and tuna </w:t>
      </w:r>
      <w:r w:rsidR="0050225B" w:rsidRPr="008E3B02">
        <w:rPr>
          <w:rFonts w:ascii="Times New Roman" w:hAnsi="Times New Roman" w:cs="Times New Roman"/>
          <w:color w:val="000000" w:themeColor="text1"/>
          <w:sz w:val="24"/>
          <w:szCs w:val="24"/>
        </w:rPr>
        <w:t>are significant in the supply of iron. Iron supplements are also significant to ensure that Kathy is treated successfully. The supplements include ferrous elements such as ferrous sulphate, gluconate, fumarate and succinate. The iron supplements should be encouraged for the patient for at least 2 months</w:t>
      </w:r>
      <w:r w:rsidR="008E3B02" w:rsidRPr="008E3B02">
        <w:rPr>
          <w:rFonts w:ascii="Times New Roman" w:hAnsi="Times New Roman" w:cs="Times New Roman"/>
          <w:color w:val="000000" w:themeColor="text1"/>
          <w:sz w:val="24"/>
          <w:szCs w:val="24"/>
        </w:rPr>
        <w:t xml:space="preserve"> (</w:t>
      </w:r>
      <w:r w:rsidR="008E3B02" w:rsidRPr="008E3B02">
        <w:rPr>
          <w:rFonts w:ascii="Times New Roman" w:hAnsi="Times New Roman" w:cs="Times New Roman"/>
          <w:color w:val="000000" w:themeColor="text1"/>
          <w:sz w:val="24"/>
          <w:szCs w:val="24"/>
          <w:shd w:val="clear" w:color="auto" w:fill="FFFFFF"/>
        </w:rPr>
        <w:t>Miller, 2013)</w:t>
      </w:r>
      <w:r w:rsidR="0050225B" w:rsidRPr="008E3B02">
        <w:rPr>
          <w:rFonts w:ascii="Times New Roman" w:hAnsi="Times New Roman" w:cs="Times New Roman"/>
          <w:color w:val="000000" w:themeColor="text1"/>
          <w:sz w:val="24"/>
          <w:szCs w:val="24"/>
        </w:rPr>
        <w:t>. Other anticipatory guidance for the patient includes the revisiting periods for screening after 6 months. However, the patient should be informed to visit the health care centre when complications such as infections, cardiac problems and fainting occur. The patient should also be informed about the control of bleeding and adherence to medications.</w:t>
      </w:r>
    </w:p>
    <w:p w:rsidR="0050225B" w:rsidRPr="008E3B02" w:rsidRDefault="00E8528F" w:rsidP="008E3B02">
      <w:pPr>
        <w:spacing w:after="0" w:line="480" w:lineRule="auto"/>
        <w:ind w:firstLine="851"/>
        <w:jc w:val="center"/>
        <w:rPr>
          <w:rFonts w:ascii="Times New Roman" w:hAnsi="Times New Roman" w:cs="Times New Roman"/>
          <w:b/>
          <w:bCs/>
          <w:color w:val="000000" w:themeColor="text1"/>
          <w:sz w:val="24"/>
          <w:szCs w:val="24"/>
        </w:rPr>
      </w:pPr>
      <w:r w:rsidRPr="008E3B02">
        <w:rPr>
          <w:rFonts w:ascii="Times New Roman" w:hAnsi="Times New Roman" w:cs="Times New Roman"/>
          <w:b/>
          <w:bCs/>
          <w:color w:val="000000" w:themeColor="text1"/>
          <w:sz w:val="24"/>
          <w:szCs w:val="24"/>
        </w:rPr>
        <w:t>Treatment Plan</w:t>
      </w:r>
    </w:p>
    <w:p w:rsidR="0050225B" w:rsidRPr="008E3B02" w:rsidRDefault="00E8528F" w:rsidP="008E3B02">
      <w:pPr>
        <w:spacing w:after="0" w:line="480" w:lineRule="auto"/>
        <w:ind w:firstLine="851"/>
        <w:rPr>
          <w:rFonts w:ascii="Times New Roman" w:hAnsi="Times New Roman" w:cs="Times New Roman"/>
          <w:color w:val="000000" w:themeColor="text1"/>
          <w:sz w:val="24"/>
          <w:szCs w:val="24"/>
        </w:rPr>
      </w:pPr>
      <w:r w:rsidRPr="008E3B02">
        <w:rPr>
          <w:rFonts w:ascii="Times New Roman" w:hAnsi="Times New Roman" w:cs="Times New Roman"/>
          <w:color w:val="000000" w:themeColor="text1"/>
          <w:sz w:val="24"/>
          <w:szCs w:val="24"/>
        </w:rPr>
        <w:t>The priority treatment plan for Kathy includes offering iron supplements. The iron supplements will be provided in the form of tablets which the patient will take on an empty stomach to enhance absorption. Vitamin C will also be administered to enhance the absorption of iron. For example, the patient can be encouraged to take iron tablets with orange juice. Iron supplements can lead to constipation; therefore, cathartic will also be administered to the patient. Treatment of the underlying conditions is also significant to ensure recovery. Drugs such as oral contraceptives can be administered to the patient to ensure the menstrual flow is controlled</w:t>
      </w:r>
      <w:r w:rsidR="008E3B02" w:rsidRPr="008E3B02">
        <w:rPr>
          <w:rFonts w:ascii="Times New Roman" w:hAnsi="Times New Roman" w:cs="Times New Roman"/>
          <w:color w:val="000000" w:themeColor="text1"/>
          <w:sz w:val="24"/>
          <w:szCs w:val="24"/>
        </w:rPr>
        <w:t xml:space="preserve"> (</w:t>
      </w:r>
      <w:r w:rsidR="008E3B02" w:rsidRPr="008E3B02">
        <w:rPr>
          <w:rFonts w:ascii="Times New Roman" w:hAnsi="Times New Roman" w:cs="Times New Roman"/>
          <w:color w:val="000000" w:themeColor="text1"/>
          <w:sz w:val="24"/>
          <w:szCs w:val="24"/>
          <w:shd w:val="clear" w:color="auto" w:fill="FFFFFF"/>
        </w:rPr>
        <w:t>Jimenez, Kulnigg-Dabsch&amp;Gasche</w:t>
      </w:r>
      <w:r w:rsidR="00AC043D" w:rsidRPr="008E3B02">
        <w:rPr>
          <w:rFonts w:ascii="Times New Roman" w:hAnsi="Times New Roman" w:cs="Times New Roman"/>
          <w:color w:val="000000" w:themeColor="text1"/>
          <w:sz w:val="24"/>
          <w:szCs w:val="24"/>
          <w:shd w:val="clear" w:color="auto" w:fill="FFFFFF"/>
        </w:rPr>
        <w:t>, 2015</w:t>
      </w:r>
      <w:r w:rsidR="008E3B02" w:rsidRPr="008E3B02">
        <w:rPr>
          <w:rFonts w:ascii="Times New Roman" w:hAnsi="Times New Roman" w:cs="Times New Roman"/>
          <w:color w:val="000000" w:themeColor="text1"/>
          <w:sz w:val="24"/>
          <w:szCs w:val="24"/>
          <w:shd w:val="clear" w:color="auto" w:fill="FFFFFF"/>
        </w:rPr>
        <w:t>)</w:t>
      </w:r>
      <w:r w:rsidRPr="008E3B02">
        <w:rPr>
          <w:rFonts w:ascii="Times New Roman" w:hAnsi="Times New Roman" w:cs="Times New Roman"/>
          <w:color w:val="000000" w:themeColor="text1"/>
          <w:sz w:val="24"/>
          <w:szCs w:val="24"/>
        </w:rPr>
        <w:t>. If the patient is suffering from an ulcer, antibiotics will be administered. Dietary management will be included to ensure the supply of iron.</w:t>
      </w:r>
    </w:p>
    <w:p w:rsidR="008E3B02" w:rsidRDefault="008E3B02" w:rsidP="008E3B02">
      <w:pPr>
        <w:spacing w:after="0" w:line="480" w:lineRule="auto"/>
        <w:ind w:firstLine="851"/>
        <w:rPr>
          <w:rFonts w:ascii="Times New Roman" w:hAnsi="Times New Roman" w:cs="Times New Roman"/>
          <w:b/>
          <w:bCs/>
          <w:color w:val="000000" w:themeColor="text1"/>
          <w:sz w:val="24"/>
          <w:szCs w:val="24"/>
        </w:rPr>
      </w:pPr>
    </w:p>
    <w:p w:rsidR="008E3B02" w:rsidRDefault="008E3B02" w:rsidP="008E3B02">
      <w:pPr>
        <w:spacing w:after="0" w:line="480" w:lineRule="auto"/>
        <w:ind w:firstLine="851"/>
        <w:rPr>
          <w:rFonts w:ascii="Times New Roman" w:hAnsi="Times New Roman" w:cs="Times New Roman"/>
          <w:b/>
          <w:bCs/>
          <w:color w:val="000000" w:themeColor="text1"/>
          <w:sz w:val="24"/>
          <w:szCs w:val="24"/>
        </w:rPr>
      </w:pPr>
    </w:p>
    <w:p w:rsidR="00046F9A" w:rsidRPr="008E3B02" w:rsidRDefault="00E8528F" w:rsidP="008E3B02">
      <w:pPr>
        <w:spacing w:after="0" w:line="480" w:lineRule="auto"/>
        <w:ind w:firstLine="851"/>
        <w:jc w:val="center"/>
        <w:rPr>
          <w:rFonts w:ascii="Times New Roman" w:hAnsi="Times New Roman" w:cs="Times New Roman"/>
          <w:b/>
          <w:bCs/>
          <w:color w:val="000000" w:themeColor="text1"/>
          <w:sz w:val="24"/>
          <w:szCs w:val="24"/>
        </w:rPr>
      </w:pPr>
      <w:r w:rsidRPr="008E3B02">
        <w:rPr>
          <w:rFonts w:ascii="Times New Roman" w:hAnsi="Times New Roman" w:cs="Times New Roman"/>
          <w:b/>
          <w:bCs/>
          <w:color w:val="000000" w:themeColor="text1"/>
          <w:sz w:val="24"/>
          <w:szCs w:val="24"/>
        </w:rPr>
        <w:lastRenderedPageBreak/>
        <w:t>Conclusion</w:t>
      </w:r>
    </w:p>
    <w:p w:rsidR="00046F9A" w:rsidRPr="008E3B02" w:rsidRDefault="00E8528F" w:rsidP="008E3B02">
      <w:pPr>
        <w:spacing w:after="0" w:line="480" w:lineRule="auto"/>
        <w:ind w:firstLine="851"/>
        <w:rPr>
          <w:rFonts w:ascii="Times New Roman" w:hAnsi="Times New Roman" w:cs="Times New Roman"/>
          <w:color w:val="000000" w:themeColor="text1"/>
          <w:sz w:val="24"/>
          <w:szCs w:val="24"/>
        </w:rPr>
      </w:pPr>
      <w:r w:rsidRPr="008E3B02">
        <w:rPr>
          <w:rFonts w:ascii="Times New Roman" w:hAnsi="Times New Roman" w:cs="Times New Roman"/>
          <w:color w:val="000000" w:themeColor="text1"/>
          <w:sz w:val="24"/>
          <w:szCs w:val="24"/>
        </w:rPr>
        <w:t xml:space="preserve">Iron deficiency anemia is a common condition among the population. The treatment of the disease involves iron intake which can be done through diet and supplements. Also, treatment of underlying conditions is a significant process to prevent the recurrence of the disease. Education is a significant tool to ensure that patients adhere to medications and they follow dietary guidelines to enhance recovery. </w:t>
      </w:r>
    </w:p>
    <w:p w:rsidR="008E3B02" w:rsidRDefault="008E3B02" w:rsidP="008E3B02">
      <w:pPr>
        <w:spacing w:after="0" w:line="480" w:lineRule="auto"/>
        <w:ind w:firstLine="851"/>
        <w:rPr>
          <w:rFonts w:ascii="Times New Roman" w:hAnsi="Times New Roman" w:cs="Times New Roman"/>
          <w:color w:val="000000" w:themeColor="text1"/>
          <w:sz w:val="24"/>
          <w:szCs w:val="24"/>
        </w:rPr>
      </w:pPr>
    </w:p>
    <w:p w:rsidR="008E3B02" w:rsidRDefault="008E3B02" w:rsidP="008E3B02">
      <w:pPr>
        <w:spacing w:after="0" w:line="480" w:lineRule="auto"/>
        <w:ind w:firstLine="851"/>
        <w:rPr>
          <w:rFonts w:ascii="Times New Roman" w:hAnsi="Times New Roman" w:cs="Times New Roman"/>
          <w:color w:val="000000" w:themeColor="text1"/>
          <w:sz w:val="24"/>
          <w:szCs w:val="24"/>
        </w:rPr>
      </w:pPr>
    </w:p>
    <w:p w:rsidR="008E3B02" w:rsidRDefault="008E3B02" w:rsidP="008E3B02">
      <w:pPr>
        <w:spacing w:after="0" w:line="480" w:lineRule="auto"/>
        <w:ind w:firstLine="851"/>
        <w:rPr>
          <w:rFonts w:ascii="Times New Roman" w:hAnsi="Times New Roman" w:cs="Times New Roman"/>
          <w:color w:val="000000" w:themeColor="text1"/>
          <w:sz w:val="24"/>
          <w:szCs w:val="24"/>
        </w:rPr>
      </w:pPr>
    </w:p>
    <w:p w:rsidR="008E3B02" w:rsidRDefault="008E3B02" w:rsidP="008E3B02">
      <w:pPr>
        <w:spacing w:after="0" w:line="480" w:lineRule="auto"/>
        <w:ind w:firstLine="851"/>
        <w:rPr>
          <w:rFonts w:ascii="Times New Roman" w:hAnsi="Times New Roman" w:cs="Times New Roman"/>
          <w:color w:val="000000" w:themeColor="text1"/>
          <w:sz w:val="24"/>
          <w:szCs w:val="24"/>
        </w:rPr>
      </w:pPr>
    </w:p>
    <w:p w:rsidR="008E3B02" w:rsidRDefault="008E3B02" w:rsidP="008E3B02">
      <w:pPr>
        <w:spacing w:after="0" w:line="480" w:lineRule="auto"/>
        <w:ind w:firstLine="851"/>
        <w:rPr>
          <w:rFonts w:ascii="Times New Roman" w:hAnsi="Times New Roman" w:cs="Times New Roman"/>
          <w:color w:val="000000" w:themeColor="text1"/>
          <w:sz w:val="24"/>
          <w:szCs w:val="24"/>
        </w:rPr>
      </w:pPr>
    </w:p>
    <w:p w:rsidR="008E3B02" w:rsidRDefault="008E3B02" w:rsidP="008E3B02">
      <w:pPr>
        <w:spacing w:after="0" w:line="480" w:lineRule="auto"/>
        <w:ind w:firstLine="851"/>
        <w:rPr>
          <w:rFonts w:ascii="Times New Roman" w:hAnsi="Times New Roman" w:cs="Times New Roman"/>
          <w:color w:val="000000" w:themeColor="text1"/>
          <w:sz w:val="24"/>
          <w:szCs w:val="24"/>
        </w:rPr>
      </w:pPr>
    </w:p>
    <w:p w:rsidR="008E3B02" w:rsidRDefault="008E3B02" w:rsidP="008E3B02">
      <w:pPr>
        <w:spacing w:after="0" w:line="480" w:lineRule="auto"/>
        <w:ind w:firstLine="851"/>
        <w:rPr>
          <w:rFonts w:ascii="Times New Roman" w:hAnsi="Times New Roman" w:cs="Times New Roman"/>
          <w:color w:val="000000" w:themeColor="text1"/>
          <w:sz w:val="24"/>
          <w:szCs w:val="24"/>
        </w:rPr>
      </w:pPr>
    </w:p>
    <w:p w:rsidR="008E3B02" w:rsidRDefault="008E3B02" w:rsidP="008E3B02">
      <w:pPr>
        <w:spacing w:after="0" w:line="480" w:lineRule="auto"/>
        <w:ind w:firstLine="851"/>
        <w:rPr>
          <w:rFonts w:ascii="Times New Roman" w:hAnsi="Times New Roman" w:cs="Times New Roman"/>
          <w:color w:val="000000" w:themeColor="text1"/>
          <w:sz w:val="24"/>
          <w:szCs w:val="24"/>
        </w:rPr>
      </w:pPr>
    </w:p>
    <w:p w:rsidR="008E3B02" w:rsidRDefault="008E3B02" w:rsidP="008E3B02">
      <w:pPr>
        <w:spacing w:after="0" w:line="480" w:lineRule="auto"/>
        <w:ind w:firstLine="851"/>
        <w:rPr>
          <w:rFonts w:ascii="Times New Roman" w:hAnsi="Times New Roman" w:cs="Times New Roman"/>
          <w:color w:val="000000" w:themeColor="text1"/>
          <w:sz w:val="24"/>
          <w:szCs w:val="24"/>
        </w:rPr>
      </w:pPr>
    </w:p>
    <w:p w:rsidR="008E3B02" w:rsidRDefault="008E3B02" w:rsidP="008E3B02">
      <w:pPr>
        <w:spacing w:after="0" w:line="480" w:lineRule="auto"/>
        <w:ind w:firstLine="851"/>
        <w:rPr>
          <w:rFonts w:ascii="Times New Roman" w:hAnsi="Times New Roman" w:cs="Times New Roman"/>
          <w:color w:val="000000" w:themeColor="text1"/>
          <w:sz w:val="24"/>
          <w:szCs w:val="24"/>
        </w:rPr>
      </w:pPr>
    </w:p>
    <w:p w:rsidR="008E3B02" w:rsidRDefault="008E3B02" w:rsidP="008E3B02">
      <w:pPr>
        <w:spacing w:after="0" w:line="480" w:lineRule="auto"/>
        <w:ind w:firstLine="851"/>
        <w:rPr>
          <w:rFonts w:ascii="Times New Roman" w:hAnsi="Times New Roman" w:cs="Times New Roman"/>
          <w:color w:val="000000" w:themeColor="text1"/>
          <w:sz w:val="24"/>
          <w:szCs w:val="24"/>
        </w:rPr>
      </w:pPr>
    </w:p>
    <w:p w:rsidR="008E3B02" w:rsidRDefault="008E3B02" w:rsidP="008E3B02">
      <w:pPr>
        <w:spacing w:after="0" w:line="480" w:lineRule="auto"/>
        <w:ind w:firstLine="851"/>
        <w:rPr>
          <w:rFonts w:ascii="Times New Roman" w:hAnsi="Times New Roman" w:cs="Times New Roman"/>
          <w:color w:val="000000" w:themeColor="text1"/>
          <w:sz w:val="24"/>
          <w:szCs w:val="24"/>
        </w:rPr>
      </w:pPr>
    </w:p>
    <w:p w:rsidR="008E3B02" w:rsidRDefault="008E3B02" w:rsidP="008E3B02">
      <w:pPr>
        <w:spacing w:after="0" w:line="480" w:lineRule="auto"/>
        <w:ind w:firstLine="851"/>
        <w:rPr>
          <w:rFonts w:ascii="Times New Roman" w:hAnsi="Times New Roman" w:cs="Times New Roman"/>
          <w:color w:val="000000" w:themeColor="text1"/>
          <w:sz w:val="24"/>
          <w:szCs w:val="24"/>
        </w:rPr>
      </w:pPr>
    </w:p>
    <w:p w:rsidR="008E3B02" w:rsidRDefault="008E3B02" w:rsidP="008E3B02">
      <w:pPr>
        <w:spacing w:after="0" w:line="480" w:lineRule="auto"/>
        <w:ind w:firstLine="851"/>
        <w:rPr>
          <w:rFonts w:ascii="Times New Roman" w:hAnsi="Times New Roman" w:cs="Times New Roman"/>
          <w:color w:val="000000" w:themeColor="text1"/>
          <w:sz w:val="24"/>
          <w:szCs w:val="24"/>
        </w:rPr>
      </w:pPr>
    </w:p>
    <w:p w:rsidR="008E3B02" w:rsidRDefault="008E3B02" w:rsidP="008E3B02">
      <w:pPr>
        <w:spacing w:after="0" w:line="480" w:lineRule="auto"/>
        <w:ind w:firstLine="851"/>
        <w:rPr>
          <w:rFonts w:ascii="Times New Roman" w:hAnsi="Times New Roman" w:cs="Times New Roman"/>
          <w:color w:val="000000" w:themeColor="text1"/>
          <w:sz w:val="24"/>
          <w:szCs w:val="24"/>
        </w:rPr>
      </w:pPr>
    </w:p>
    <w:p w:rsidR="008E3B02" w:rsidRDefault="008E3B02" w:rsidP="008E3B02">
      <w:pPr>
        <w:spacing w:after="0" w:line="480" w:lineRule="auto"/>
        <w:ind w:firstLine="851"/>
        <w:rPr>
          <w:rFonts w:ascii="Times New Roman" w:hAnsi="Times New Roman" w:cs="Times New Roman"/>
          <w:color w:val="000000" w:themeColor="text1"/>
          <w:sz w:val="24"/>
          <w:szCs w:val="24"/>
        </w:rPr>
      </w:pPr>
    </w:p>
    <w:p w:rsidR="008E3B02" w:rsidRDefault="008E3B02" w:rsidP="008E3B02">
      <w:pPr>
        <w:spacing w:after="0" w:line="480" w:lineRule="auto"/>
        <w:ind w:firstLine="851"/>
        <w:rPr>
          <w:rFonts w:ascii="Times New Roman" w:hAnsi="Times New Roman" w:cs="Times New Roman"/>
          <w:color w:val="000000" w:themeColor="text1"/>
          <w:sz w:val="24"/>
          <w:szCs w:val="24"/>
        </w:rPr>
      </w:pPr>
    </w:p>
    <w:p w:rsidR="008E3B02" w:rsidRDefault="008E3B02" w:rsidP="008E3B02">
      <w:pPr>
        <w:spacing w:after="0" w:line="480" w:lineRule="auto"/>
        <w:ind w:firstLine="851"/>
        <w:rPr>
          <w:rFonts w:ascii="Times New Roman" w:hAnsi="Times New Roman" w:cs="Times New Roman"/>
          <w:color w:val="000000" w:themeColor="text1"/>
          <w:sz w:val="24"/>
          <w:szCs w:val="24"/>
        </w:rPr>
      </w:pPr>
    </w:p>
    <w:p w:rsidR="008E3B02" w:rsidRDefault="008E3B02" w:rsidP="008E3B02">
      <w:pPr>
        <w:spacing w:after="0" w:line="480" w:lineRule="auto"/>
        <w:ind w:firstLine="851"/>
        <w:rPr>
          <w:rFonts w:ascii="Times New Roman" w:hAnsi="Times New Roman" w:cs="Times New Roman"/>
          <w:color w:val="000000" w:themeColor="text1"/>
          <w:sz w:val="24"/>
          <w:szCs w:val="24"/>
        </w:rPr>
      </w:pPr>
    </w:p>
    <w:p w:rsidR="008E3B02" w:rsidRPr="008E3B02" w:rsidRDefault="00E8528F" w:rsidP="008E3B02">
      <w:pPr>
        <w:spacing w:after="0" w:line="480" w:lineRule="auto"/>
        <w:ind w:firstLine="851"/>
        <w:jc w:val="center"/>
        <w:rPr>
          <w:rFonts w:ascii="Times New Roman" w:hAnsi="Times New Roman" w:cs="Times New Roman"/>
          <w:color w:val="000000" w:themeColor="text1"/>
          <w:sz w:val="24"/>
          <w:szCs w:val="24"/>
        </w:rPr>
      </w:pPr>
      <w:r w:rsidRPr="008E3B02">
        <w:rPr>
          <w:rFonts w:ascii="Times New Roman" w:hAnsi="Times New Roman" w:cs="Times New Roman"/>
          <w:color w:val="000000" w:themeColor="text1"/>
          <w:sz w:val="24"/>
          <w:szCs w:val="24"/>
        </w:rPr>
        <w:lastRenderedPageBreak/>
        <w:t>References</w:t>
      </w:r>
    </w:p>
    <w:p w:rsidR="008E3B02" w:rsidRPr="008E3B02" w:rsidRDefault="00E8528F" w:rsidP="008E3B02">
      <w:pPr>
        <w:spacing w:after="0" w:line="480" w:lineRule="auto"/>
        <w:ind w:left="851" w:hanging="851"/>
        <w:rPr>
          <w:rFonts w:ascii="Times New Roman" w:hAnsi="Times New Roman" w:cs="Times New Roman"/>
          <w:color w:val="000000" w:themeColor="text1"/>
          <w:sz w:val="24"/>
          <w:szCs w:val="24"/>
        </w:rPr>
      </w:pPr>
      <w:r w:rsidRPr="008E3B02">
        <w:rPr>
          <w:rFonts w:ascii="Times New Roman" w:hAnsi="Times New Roman" w:cs="Times New Roman"/>
          <w:color w:val="000000" w:themeColor="text1"/>
          <w:sz w:val="24"/>
          <w:szCs w:val="24"/>
          <w:shd w:val="clear" w:color="auto" w:fill="FFFFFF"/>
        </w:rPr>
        <w:t>Jimenez, K., Kulnigg-Dabsch, S., &amp;Gasche, C. (2015). Management of Iron Deficiency Anemia. </w:t>
      </w:r>
      <w:r w:rsidRPr="008E3B02">
        <w:rPr>
          <w:rFonts w:ascii="Times New Roman" w:hAnsi="Times New Roman" w:cs="Times New Roman"/>
          <w:i/>
          <w:iCs/>
          <w:color w:val="000000" w:themeColor="text1"/>
          <w:sz w:val="24"/>
          <w:szCs w:val="24"/>
          <w:shd w:val="clear" w:color="auto" w:fill="FFFFFF"/>
        </w:rPr>
        <w:t>Gastroenterology &amp; hepatology</w:t>
      </w:r>
      <w:r w:rsidRPr="008E3B02">
        <w:rPr>
          <w:rFonts w:ascii="Times New Roman" w:hAnsi="Times New Roman" w:cs="Times New Roman"/>
          <w:color w:val="000000" w:themeColor="text1"/>
          <w:sz w:val="24"/>
          <w:szCs w:val="24"/>
          <w:shd w:val="clear" w:color="auto" w:fill="FFFFFF"/>
        </w:rPr>
        <w:t>, </w:t>
      </w:r>
      <w:r w:rsidRPr="008E3B02">
        <w:rPr>
          <w:rFonts w:ascii="Times New Roman" w:hAnsi="Times New Roman" w:cs="Times New Roman"/>
          <w:i/>
          <w:iCs/>
          <w:color w:val="000000" w:themeColor="text1"/>
          <w:sz w:val="24"/>
          <w:szCs w:val="24"/>
          <w:shd w:val="clear" w:color="auto" w:fill="FFFFFF"/>
        </w:rPr>
        <w:t>11</w:t>
      </w:r>
      <w:r w:rsidRPr="008E3B02">
        <w:rPr>
          <w:rFonts w:ascii="Times New Roman" w:hAnsi="Times New Roman" w:cs="Times New Roman"/>
          <w:color w:val="000000" w:themeColor="text1"/>
          <w:sz w:val="24"/>
          <w:szCs w:val="24"/>
          <w:shd w:val="clear" w:color="auto" w:fill="FFFFFF"/>
        </w:rPr>
        <w:t>(4), 241–250.</w:t>
      </w:r>
    </w:p>
    <w:p w:rsidR="008E3B02" w:rsidRPr="008E3B02" w:rsidRDefault="00E8528F" w:rsidP="008E3B02">
      <w:pPr>
        <w:spacing w:after="0" w:line="480" w:lineRule="auto"/>
        <w:ind w:left="851" w:hanging="851"/>
        <w:rPr>
          <w:rFonts w:ascii="Times New Roman" w:hAnsi="Times New Roman" w:cs="Times New Roman"/>
          <w:color w:val="000000" w:themeColor="text1"/>
          <w:sz w:val="24"/>
          <w:szCs w:val="24"/>
          <w:shd w:val="clear" w:color="auto" w:fill="FFFFFF"/>
        </w:rPr>
      </w:pPr>
      <w:r w:rsidRPr="008E3B02">
        <w:rPr>
          <w:rFonts w:ascii="Times New Roman" w:hAnsi="Times New Roman" w:cs="Times New Roman"/>
          <w:color w:val="000000" w:themeColor="text1"/>
          <w:sz w:val="24"/>
          <w:szCs w:val="24"/>
          <w:shd w:val="clear" w:color="auto" w:fill="FFFFFF"/>
        </w:rPr>
        <w:t>Miller J. L. (2013). Iron deficiency anemia: a common and curable disease. </w:t>
      </w:r>
      <w:r w:rsidRPr="008E3B02">
        <w:rPr>
          <w:rFonts w:ascii="Times New Roman" w:hAnsi="Times New Roman" w:cs="Times New Roman"/>
          <w:i/>
          <w:iCs/>
          <w:color w:val="000000" w:themeColor="text1"/>
          <w:sz w:val="24"/>
          <w:szCs w:val="24"/>
          <w:shd w:val="clear" w:color="auto" w:fill="FFFFFF"/>
        </w:rPr>
        <w:t>Cold Spring Harbor perspectives in medicine</w:t>
      </w:r>
      <w:r w:rsidRPr="008E3B02">
        <w:rPr>
          <w:rFonts w:ascii="Times New Roman" w:hAnsi="Times New Roman" w:cs="Times New Roman"/>
          <w:color w:val="000000" w:themeColor="text1"/>
          <w:sz w:val="24"/>
          <w:szCs w:val="24"/>
          <w:shd w:val="clear" w:color="auto" w:fill="FFFFFF"/>
        </w:rPr>
        <w:t>, </w:t>
      </w:r>
      <w:r w:rsidRPr="008E3B02">
        <w:rPr>
          <w:rFonts w:ascii="Times New Roman" w:hAnsi="Times New Roman" w:cs="Times New Roman"/>
          <w:i/>
          <w:iCs/>
          <w:color w:val="000000" w:themeColor="text1"/>
          <w:sz w:val="24"/>
          <w:szCs w:val="24"/>
          <w:shd w:val="clear" w:color="auto" w:fill="FFFFFF"/>
        </w:rPr>
        <w:t>3</w:t>
      </w:r>
      <w:r w:rsidRPr="008E3B02">
        <w:rPr>
          <w:rFonts w:ascii="Times New Roman" w:hAnsi="Times New Roman" w:cs="Times New Roman"/>
          <w:color w:val="000000" w:themeColor="text1"/>
          <w:sz w:val="24"/>
          <w:szCs w:val="24"/>
          <w:shd w:val="clear" w:color="auto" w:fill="FFFFFF"/>
        </w:rPr>
        <w:t xml:space="preserve">(7), a011866. </w:t>
      </w:r>
      <w:hyperlink r:id="rId6" w:history="1">
        <w:r w:rsidRPr="008E3B02">
          <w:rPr>
            <w:rStyle w:val="Hyperlink"/>
            <w:rFonts w:ascii="Times New Roman" w:hAnsi="Times New Roman" w:cs="Times New Roman"/>
            <w:color w:val="000000" w:themeColor="text1"/>
            <w:sz w:val="24"/>
            <w:szCs w:val="24"/>
            <w:u w:val="none"/>
            <w:shd w:val="clear" w:color="auto" w:fill="FFFFFF"/>
          </w:rPr>
          <w:t>https://doi.org/10.1101/cshperspect.a011866</w:t>
        </w:r>
      </w:hyperlink>
    </w:p>
    <w:sectPr w:rsidR="008E3B02" w:rsidRPr="008E3B02" w:rsidSect="008E3B02">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D22D0" w:rsidRDefault="008D22D0" w:rsidP="00E276C7">
      <w:pPr>
        <w:spacing w:after="0" w:line="240" w:lineRule="auto"/>
      </w:pPr>
      <w:r>
        <w:separator/>
      </w:r>
    </w:p>
  </w:endnote>
  <w:endnote w:type="continuationSeparator" w:id="1">
    <w:p w:rsidR="008D22D0" w:rsidRDefault="008D22D0" w:rsidP="00E276C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D22D0" w:rsidRDefault="008D22D0" w:rsidP="00E276C7">
      <w:pPr>
        <w:spacing w:after="0" w:line="240" w:lineRule="auto"/>
      </w:pPr>
      <w:r>
        <w:separator/>
      </w:r>
    </w:p>
  </w:footnote>
  <w:footnote w:type="continuationSeparator" w:id="1">
    <w:p w:rsidR="008D22D0" w:rsidRDefault="008D22D0" w:rsidP="00E276C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B02" w:rsidRDefault="008E3B02" w:rsidP="008E3B02">
    <w:pPr>
      <w:pStyle w:val="Header"/>
    </w:pPr>
  </w:p>
  <w:p w:rsidR="008E3B02" w:rsidRDefault="008E3B0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B02" w:rsidRPr="008E3B02" w:rsidRDefault="008E3B02" w:rsidP="008E3B02">
    <w:pPr>
      <w:spacing w:line="480" w:lineRule="auto"/>
      <w:rPr>
        <w:rFonts w:ascii="Times New Roman" w:hAnsi="Times New Roman" w:cs="Times New Roman"/>
        <w:color w:val="000000" w:themeColor="text1"/>
        <w:sz w:val="24"/>
        <w:szCs w:val="24"/>
      </w:rPr>
    </w:pPr>
  </w:p>
  <w:p w:rsidR="008E3B02" w:rsidRDefault="008E3B0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tjAzszQ3MDIzNLcwtzBU0lEKTi0uzszPAykwrAUAbRIhDSwAAAA="/>
  </w:docVars>
  <w:rsids>
    <w:rsidRoot w:val="00C42FC3"/>
    <w:rsid w:val="00046F9A"/>
    <w:rsid w:val="000578E5"/>
    <w:rsid w:val="002A07FF"/>
    <w:rsid w:val="0050225B"/>
    <w:rsid w:val="006E722A"/>
    <w:rsid w:val="008D22D0"/>
    <w:rsid w:val="008E3B02"/>
    <w:rsid w:val="00AC043D"/>
    <w:rsid w:val="00C42FC3"/>
    <w:rsid w:val="00D91ADD"/>
    <w:rsid w:val="00E276C7"/>
    <w:rsid w:val="00E8528F"/>
    <w:rsid w:val="00EB551C"/>
    <w:rsid w:val="00F13936"/>
    <w:rsid w:val="00F95C6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76C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E722A"/>
    <w:rPr>
      <w:color w:val="0563C1" w:themeColor="hyperlink"/>
      <w:u w:val="single"/>
    </w:rPr>
  </w:style>
  <w:style w:type="character" w:customStyle="1" w:styleId="UnresolvedMention">
    <w:name w:val="Unresolved Mention"/>
    <w:basedOn w:val="DefaultParagraphFont"/>
    <w:uiPriority w:val="99"/>
    <w:semiHidden/>
    <w:unhideWhenUsed/>
    <w:rsid w:val="006E722A"/>
    <w:rPr>
      <w:color w:val="605E5C"/>
      <w:shd w:val="clear" w:color="auto" w:fill="E1DFDD"/>
    </w:rPr>
  </w:style>
  <w:style w:type="paragraph" w:styleId="Header">
    <w:name w:val="header"/>
    <w:basedOn w:val="Normal"/>
    <w:link w:val="HeaderChar"/>
    <w:uiPriority w:val="99"/>
    <w:unhideWhenUsed/>
    <w:rsid w:val="008E3B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3B02"/>
    <w:rPr>
      <w:lang w:val="en-US"/>
    </w:rPr>
  </w:style>
  <w:style w:type="paragraph" w:styleId="Footer">
    <w:name w:val="footer"/>
    <w:basedOn w:val="Normal"/>
    <w:link w:val="FooterChar"/>
    <w:uiPriority w:val="99"/>
    <w:unhideWhenUsed/>
    <w:rsid w:val="008E3B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3B02"/>
    <w:rPr>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01/cshperspect.a011866"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714</Words>
  <Characters>4074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3</cp:revision>
  <dcterms:created xsi:type="dcterms:W3CDTF">2020-07-08T14:54:00Z</dcterms:created>
  <dcterms:modified xsi:type="dcterms:W3CDTF">2020-07-08T14:55:00Z</dcterms:modified>
</cp:coreProperties>
</file>